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411" w:rsidRPr="000940EA" w:rsidRDefault="009C5411" w:rsidP="009C5411">
      <w:pPr>
        <w:pStyle w:val="Nadpis2"/>
        <w:rPr>
          <w:b w:val="0"/>
        </w:rPr>
      </w:pPr>
      <w:bookmarkStart w:id="0" w:name="_GoBack"/>
      <w:bookmarkEnd w:id="0"/>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5811"/>
      </w:tblGrid>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P. č.</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Názov rizikového indikátora</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Popis rizikového indikátora</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1</w:t>
            </w:r>
          </w:p>
          <w:p w:rsidR="009C5411" w:rsidRPr="00351766" w:rsidRDefault="009C5411" w:rsidP="00984AE0">
            <w:pPr>
              <w:spacing w:before="120" w:after="120" w:line="240" w:lineRule="auto"/>
              <w:ind w:left="-13" w:right="-51"/>
              <w:jc w:val="center"/>
              <w:rPr>
                <w:rFonts w:ascii="Times New Roman" w:hAnsi="Times New Roman"/>
                <w:bCs/>
              </w:rPr>
            </w:pP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Rotácia úspešných uchádzačov podľa regiónu, typu služby, tovaru alebo práce (</w:t>
            </w:r>
            <w:proofErr w:type="spellStart"/>
            <w:r w:rsidRPr="00351766">
              <w:rPr>
                <w:rFonts w:ascii="Times New Roman" w:hAnsi="Times New Roman"/>
                <w:bCs/>
              </w:rPr>
              <w:t>bid</w:t>
            </w:r>
            <w:proofErr w:type="spellEnd"/>
            <w:r w:rsidRPr="00351766">
              <w:rPr>
                <w:rFonts w:ascii="Times New Roman" w:hAnsi="Times New Roman"/>
                <w:bCs/>
              </w:rPr>
              <w:t xml:space="preserve"> </w:t>
            </w:r>
            <w:proofErr w:type="spellStart"/>
            <w:r w:rsidRPr="00351766">
              <w:rPr>
                <w:rFonts w:ascii="Times New Roman" w:hAnsi="Times New Roman"/>
                <w:bCs/>
              </w:rPr>
              <w:t>rotation</w:t>
            </w:r>
            <w:proofErr w:type="spellEnd"/>
            <w:r w:rsidRPr="00351766">
              <w:rPr>
                <w:rFonts w:ascii="Times New Roman" w:hAnsi="Times New Roman"/>
                <w:bCs/>
              </w:rPr>
              <w:t>)</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2</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 xml:space="preserve">Neúspešný uchádzač je </w:t>
            </w:r>
            <w:proofErr w:type="spellStart"/>
            <w:r w:rsidRPr="00351766">
              <w:rPr>
                <w:rFonts w:ascii="Times New Roman" w:hAnsi="Times New Roman"/>
                <w:bCs/>
              </w:rPr>
              <w:t>zazmluvnený</w:t>
            </w:r>
            <w:proofErr w:type="spellEnd"/>
            <w:r w:rsidRPr="00351766">
              <w:rPr>
                <w:rFonts w:ascii="Times New Roman" w:hAnsi="Times New Roman"/>
                <w:bCs/>
              </w:rPr>
              <w:t xml:space="preserve"> úspešným uchádzačom ako subdodávateľ</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 xml:space="preserve">Pri kontrole </w:t>
            </w:r>
            <w:r>
              <w:rPr>
                <w:rFonts w:ascii="Times New Roman" w:hAnsi="Times New Roman"/>
                <w:bCs/>
              </w:rPr>
              <w:t>poskytovateľ</w:t>
            </w:r>
            <w:r w:rsidRPr="00351766">
              <w:rPr>
                <w:rFonts w:ascii="Times New Roman" w:hAnsi="Times New Roman"/>
                <w:bCs/>
              </w:rPr>
              <w:t xml:space="preserve"> zistí skutočnosť, že s uchádzačom, ktorý bol v súťaži vyhodnotený ako neúspešný, uzavrel úspešný uchádzač v rámci plnenia predmetnej zákazky subdodávateľskú zmluvu.</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3</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Medzi uchádzačmi je majetkové alebo osobné prepojenie</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p>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Príslušnosť uchádzačov k jednej ekonomickej skupine, ktorí podali v postupe zadávania zákazky samostatné ponuky, sa neposudzuje ako indikátor možného protisúťažného konania.</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4</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Niektorí uchádzači predkladajú opätovne svoju ponuku, avšak nikdy nie sú úspešní</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Vo viacerých súťažiach je možné identifikovať rovnakého uchádzača, ktorý sa zúčastní postupu VO, ale nikdy nie je úspešný.</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5</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Niektorí uchádzači predkladajú ponuku, avšak nespĺňajú rozsah požiadaviek pre účely splnenia podmienok účasti/požiadaviek na predmet zákazky</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V postupoch VO je možné pri kontrole zistiť, že ponuku predložili uchádzači, ktorí zjavne nespĺňajú podmienky účasti alebo požiadavky na predmet zákazky (napr. nedosahujú požadovaný obrat, nedisponujú požadovanými referenciami, predmet zákazky nie je predmetom ich podnikateľskej činnosti).</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6</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Dvaja alebo viacerí uchádzači predkladajú spoločnú ponuku (ako skupina dodávateľov), avšak aspoň jeden z nich je dostatočne kvalifikovaný aby mohol podať ponuku sám</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V súťaži je identifikovaný dodávateľ, o ktorom je všeobecne známe, že je kvalifikovaný podať ponuku aj bez vytvorenia skupiny dodávateľov, napriek tomu sa súťaže zúčastňuje v rámci spoločnej ponuky dvoch alebo viacerých dodávateľov.</w:t>
            </w:r>
          </w:p>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V takomto prípade je ale potrebné vyhodnotiť, či podmienky zadávania zákazky naozaj neumožňovali jednotlivým uchádzačom podať ponuky samostatne (napr. ide o uchádzača, ktorý predložil ponuky do viacerých samostatných postupov zadávania zákazky vyhlásených/realizovaných v rovnakom čase a pod.).</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lastRenderedPageBreak/>
              <w:t>7</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Predloženie tieňovej („krycej“) ponuky (</w:t>
            </w:r>
            <w:proofErr w:type="spellStart"/>
            <w:r w:rsidRPr="00351766">
              <w:rPr>
                <w:rFonts w:ascii="Times New Roman" w:hAnsi="Times New Roman"/>
                <w:bCs/>
              </w:rPr>
              <w:t>cover</w:t>
            </w:r>
            <w:proofErr w:type="spellEnd"/>
            <w:r w:rsidRPr="00351766">
              <w:rPr>
                <w:rFonts w:ascii="Times New Roman" w:hAnsi="Times New Roman"/>
                <w:bCs/>
              </w:rPr>
              <w:t xml:space="preserve"> </w:t>
            </w:r>
            <w:proofErr w:type="spellStart"/>
            <w:r w:rsidRPr="00351766">
              <w:rPr>
                <w:rFonts w:ascii="Times New Roman" w:hAnsi="Times New Roman"/>
                <w:bCs/>
              </w:rPr>
              <w:t>bidding</w:t>
            </w:r>
            <w:proofErr w:type="spellEnd"/>
            <w:r w:rsidRPr="00351766">
              <w:rPr>
                <w:rFonts w:ascii="Times New Roman" w:hAnsi="Times New Roman"/>
                <w:bCs/>
              </w:rPr>
              <w:t>)</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pStyle w:val="Odsekzoznamu"/>
              <w:keepNext/>
              <w:keepLines/>
              <w:numPr>
                <w:ilvl w:val="0"/>
                <w:numId w:val="1"/>
              </w:numPr>
              <w:spacing w:before="120" w:after="120" w:line="240" w:lineRule="auto"/>
              <w:jc w:val="both"/>
              <w:rPr>
                <w:rFonts w:ascii="Times New Roman" w:hAnsi="Times New Roman"/>
                <w:bCs/>
                <w:sz w:val="22"/>
                <w:szCs w:val="22"/>
                <w:lang w:val="sk-SK" w:eastAsia="en-US"/>
              </w:rPr>
            </w:pPr>
            <w:r w:rsidRPr="00351766">
              <w:rPr>
                <w:rFonts w:ascii="Times New Roman" w:hAnsi="Times New Roman"/>
                <w:bCs/>
                <w:sz w:val="22"/>
                <w:szCs w:val="22"/>
                <w:lang w:val="sk-SK" w:eastAsia="en-US"/>
              </w:rPr>
              <w:t>určitý uchádzač alebo uchádzači predložia vyššiu cenovú ponuku ako vopred dohodnutý úspešný uchádzač</w:t>
            </w:r>
          </w:p>
          <w:p w:rsidR="009C5411" w:rsidRPr="00351766" w:rsidRDefault="009C5411" w:rsidP="00984AE0">
            <w:pPr>
              <w:pStyle w:val="Odsekzoznamu"/>
              <w:keepNext/>
              <w:keepLines/>
              <w:numPr>
                <w:ilvl w:val="0"/>
                <w:numId w:val="1"/>
              </w:numPr>
              <w:spacing w:before="120" w:after="120" w:line="240" w:lineRule="auto"/>
              <w:jc w:val="both"/>
              <w:rPr>
                <w:rFonts w:ascii="Times New Roman" w:hAnsi="Times New Roman"/>
                <w:bCs/>
                <w:sz w:val="22"/>
                <w:szCs w:val="22"/>
                <w:lang w:val="sk-SK" w:eastAsia="en-US"/>
              </w:rPr>
            </w:pPr>
            <w:r w:rsidRPr="00351766">
              <w:rPr>
                <w:rFonts w:ascii="Times New Roman" w:hAnsi="Times New Roman"/>
                <w:bCs/>
                <w:sz w:val="22"/>
                <w:szCs w:val="22"/>
                <w:lang w:val="sk-SK" w:eastAsia="en-US"/>
              </w:rPr>
              <w:t>určitý uchádzač predloží cenovú ponuku, ktorá je príliš vysoká na to, aby bola akceptovaná,</w:t>
            </w:r>
          </w:p>
          <w:p w:rsidR="009C5411" w:rsidRPr="00351766" w:rsidRDefault="009C5411" w:rsidP="00984AE0">
            <w:pPr>
              <w:pStyle w:val="Odsekzoznamu"/>
              <w:keepNext/>
              <w:keepLines/>
              <w:numPr>
                <w:ilvl w:val="0"/>
                <w:numId w:val="1"/>
              </w:numPr>
              <w:spacing w:before="120" w:after="120" w:line="240" w:lineRule="auto"/>
              <w:jc w:val="both"/>
              <w:rPr>
                <w:rFonts w:ascii="Times New Roman" w:hAnsi="Times New Roman"/>
                <w:bCs/>
                <w:sz w:val="22"/>
                <w:szCs w:val="22"/>
                <w:lang w:val="sk-SK" w:eastAsia="en-US"/>
              </w:rPr>
            </w:pPr>
            <w:r w:rsidRPr="00351766">
              <w:rPr>
                <w:rFonts w:ascii="Times New Roman" w:hAnsi="Times New Roman"/>
                <w:bCs/>
                <w:sz w:val="22"/>
                <w:szCs w:val="22"/>
                <w:lang w:val="sk-SK" w:eastAsia="en-US"/>
              </w:rPr>
              <w:t>určitý uchádzač predloží ponuku s podmienkami, ktoré sú pre verejného obstarávateľa neakceptovateľné, resp. v rozpore so súťažnými podkladmi</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8</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Zrušenie cenovej ponuky (</w:t>
            </w:r>
            <w:proofErr w:type="spellStart"/>
            <w:r w:rsidRPr="00351766">
              <w:rPr>
                <w:rFonts w:ascii="Times New Roman" w:hAnsi="Times New Roman"/>
                <w:bCs/>
              </w:rPr>
              <w:t>bid</w:t>
            </w:r>
            <w:proofErr w:type="spellEnd"/>
            <w:r w:rsidRPr="00351766">
              <w:rPr>
                <w:rFonts w:ascii="Times New Roman" w:hAnsi="Times New Roman"/>
                <w:bCs/>
              </w:rPr>
              <w:t xml:space="preserve"> </w:t>
            </w:r>
            <w:proofErr w:type="spellStart"/>
            <w:r w:rsidRPr="00351766">
              <w:rPr>
                <w:rFonts w:ascii="Times New Roman" w:hAnsi="Times New Roman"/>
                <w:bCs/>
              </w:rPr>
              <w:t>suppresion</w:t>
            </w:r>
            <w:proofErr w:type="spellEnd"/>
            <w:r w:rsidRPr="00351766">
              <w:rPr>
                <w:rFonts w:ascii="Times New Roman" w:hAnsi="Times New Roman"/>
                <w:bCs/>
              </w:rPr>
              <w:t>)</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pStyle w:val="Odsekzoznamu"/>
              <w:keepNext/>
              <w:keepLines/>
              <w:numPr>
                <w:ilvl w:val="0"/>
                <w:numId w:val="1"/>
              </w:numPr>
              <w:spacing w:before="120" w:after="120" w:line="240" w:lineRule="auto"/>
              <w:jc w:val="both"/>
              <w:rPr>
                <w:rFonts w:ascii="Times New Roman" w:hAnsi="Times New Roman"/>
                <w:bCs/>
                <w:sz w:val="22"/>
                <w:szCs w:val="22"/>
                <w:lang w:val="sk-SK" w:eastAsia="en-US"/>
              </w:rPr>
            </w:pPr>
            <w:r w:rsidRPr="00351766">
              <w:rPr>
                <w:rFonts w:ascii="Times New Roman" w:hAnsi="Times New Roman"/>
                <w:bCs/>
                <w:sz w:val="22"/>
                <w:szCs w:val="22"/>
                <w:lang w:val="sk-SK" w:eastAsia="en-US"/>
              </w:rPr>
              <w:t>niektorí uchádzači neočakávane stiahli svoje ponuky</w:t>
            </w:r>
          </w:p>
          <w:p w:rsidR="009C5411" w:rsidRPr="00351766" w:rsidRDefault="009C5411" w:rsidP="00984AE0">
            <w:pPr>
              <w:pStyle w:val="Odsekzoznamu"/>
              <w:keepNext/>
              <w:keepLines/>
              <w:numPr>
                <w:ilvl w:val="0"/>
                <w:numId w:val="1"/>
              </w:numPr>
              <w:spacing w:before="120" w:after="120" w:line="240" w:lineRule="auto"/>
              <w:jc w:val="both"/>
              <w:rPr>
                <w:rFonts w:ascii="Times New Roman" w:hAnsi="Times New Roman"/>
                <w:bCs/>
                <w:sz w:val="22"/>
                <w:szCs w:val="22"/>
                <w:lang w:val="sk-SK" w:eastAsia="en-US"/>
              </w:rPr>
            </w:pPr>
            <w:r w:rsidRPr="00351766">
              <w:rPr>
                <w:rFonts w:ascii="Times New Roman" w:hAnsi="Times New Roman"/>
                <w:bCs/>
                <w:sz w:val="22"/>
                <w:szCs w:val="22"/>
                <w:lang w:val="sk-SK" w:eastAsia="en-US"/>
              </w:rPr>
              <w:t>pravidelní uchádzači o určitý typ zákazky nepredložili ponuku, aj keď sa očakávala ich účasť, nakoľko v iných súťažiach na obdobný predmet zákazky ponuku predložili</w:t>
            </w:r>
          </w:p>
        </w:tc>
      </w:tr>
      <w:tr w:rsidR="009C5411" w:rsidRPr="0035176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9</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Nízky počet ponúk/žiadostí o</w:t>
            </w:r>
            <w:r>
              <w:rPr>
                <w:rFonts w:ascii="Times New Roman" w:hAnsi="Times New Roman"/>
                <w:bCs/>
              </w:rPr>
              <w:t> </w:t>
            </w:r>
            <w:r w:rsidRPr="00351766">
              <w:rPr>
                <w:rFonts w:ascii="Times New Roman" w:hAnsi="Times New Roman"/>
                <w:bCs/>
              </w:rPr>
              <w:t>účasť</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7"/>
              <w:jc w:val="both"/>
              <w:rPr>
                <w:rFonts w:ascii="Times New Roman" w:hAnsi="Times New Roman"/>
                <w:bCs/>
              </w:rPr>
            </w:pPr>
            <w:r w:rsidRPr="00351766">
              <w:rPr>
                <w:rFonts w:ascii="Times New Roman" w:hAnsi="Times New Roman"/>
                <w:bCs/>
              </w:rPr>
              <w:t>V rámci súťaže bol predložený nízky počet ponúk alebo žiadostí o účasť (1 až 2)</w:t>
            </w:r>
            <w:r>
              <w:rPr>
                <w:rFonts w:ascii="Times New Roman" w:hAnsi="Times New Roman"/>
                <w:bCs/>
              </w:rPr>
              <w:t>.</w:t>
            </w:r>
            <w:r w:rsidRPr="00351766">
              <w:rPr>
                <w:rFonts w:ascii="Times New Roman" w:hAnsi="Times New Roman"/>
                <w:bCs/>
              </w:rPr>
              <w:t xml:space="preserve"> </w:t>
            </w:r>
          </w:p>
        </w:tc>
      </w:tr>
      <w:tr w:rsidR="009C5411" w:rsidRPr="006B5D31"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10</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Podozrivé schémy v stanovovaní cien</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351766">
              <w:rPr>
                <w:rFonts w:ascii="Times New Roman" w:hAnsi="Times New Roman"/>
                <w:bCs/>
              </w:rPr>
              <w:t>ceny predložené uchádzačmi sa oproti úspešnej ponuke zvyšujú o pravidelný % prírastok ,</w:t>
            </w:r>
          </w:p>
          <w:p w:rsidR="009C5411" w:rsidRPr="004A15E4"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4A15E4">
              <w:rPr>
                <w:rFonts w:ascii="Times New Roman" w:hAnsi="Times New Roman"/>
                <w:bCs/>
              </w:rPr>
              <w:t>na stanovenie ceny sú pri viacerých uchádzačoch použité rovnaké kalkulácie (cenový index),</w:t>
            </w:r>
          </w:p>
          <w:p w:rsidR="009C5411" w:rsidRPr="004A15E4"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AD097E">
              <w:rPr>
                <w:rFonts w:ascii="Times New Roman" w:hAnsi="Times New Roman"/>
                <w:bCs/>
              </w:rPr>
              <w:t>hodnoty všetkých predložených ponúk sú v porovnaní s predpokladanou hodnotou zákazky buď nad touto</w:t>
            </w:r>
            <w:r w:rsidRPr="008E5246">
              <w:rPr>
                <w:rFonts w:ascii="Times New Roman" w:hAnsi="Times New Roman"/>
                <w:bCs/>
              </w:rPr>
              <w:t xml:space="preserve"> hodnotou, alebo tesne pod ňou,</w:t>
            </w:r>
          </w:p>
          <w:p w:rsidR="009C5411" w:rsidRPr="004A15E4"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6B5D31">
              <w:rPr>
                <w:rFonts w:ascii="Times New Roman" w:hAnsi="Times New Roman"/>
                <w:bCs/>
              </w:rPr>
              <w:t>výsledná suma</w:t>
            </w:r>
            <w:r>
              <w:rPr>
                <w:rFonts w:ascii="Times New Roman" w:hAnsi="Times New Roman"/>
                <w:bCs/>
              </w:rPr>
              <w:t xml:space="preserve"> </w:t>
            </w:r>
            <w:r w:rsidRPr="006B5D31">
              <w:rPr>
                <w:rFonts w:ascii="Times New Roman" w:hAnsi="Times New Roman"/>
                <w:bCs/>
              </w:rPr>
              <w:t>ponuky úspešného uchádzača je neprimerane vysoká vzhľadom na sumy, ktoré vie RO porovnať z verejne dostupných zdrojov alebo z vlastných databáz a zdrojov informácií o hodnotách podobných tovarov, prác a služieb,</w:t>
            </w:r>
          </w:p>
          <w:p w:rsidR="009C5411" w:rsidRPr="004A15E4"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AD097E">
              <w:rPr>
                <w:rFonts w:ascii="Times New Roman" w:hAnsi="Times New Roman"/>
                <w:bCs/>
              </w:rPr>
              <w:t>v súťaži je možné pozorovať náhly pokles ponukových cien (v porovnaní s inými súťažami na obdobný predmet zákazky) pri vstupe uchádzača do súťaže, ktorý v predošlých podobných súťažiach nepredkladal ponuku,</w:t>
            </w:r>
          </w:p>
          <w:p w:rsidR="009C5411" w:rsidRPr="004A15E4"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AD097E">
              <w:rPr>
                <w:rFonts w:ascii="Times New Roman" w:hAnsi="Times New Roman"/>
                <w:bCs/>
              </w:rPr>
              <w:t xml:space="preserve">zľavy neboli ponúknuté, aj keď ide o trh, </w:t>
            </w:r>
            <w:r w:rsidRPr="008E5246">
              <w:rPr>
                <w:rFonts w:ascii="Times New Roman" w:hAnsi="Times New Roman"/>
                <w:bCs/>
              </w:rPr>
              <w:t>kde sú zľavy pravidelne poskytované</w:t>
            </w:r>
            <w:r>
              <w:rPr>
                <w:rFonts w:ascii="Times New Roman" w:hAnsi="Times New Roman"/>
                <w:bCs/>
              </w:rPr>
              <w:t>,</w:t>
            </w:r>
          </w:p>
          <w:p w:rsidR="009C5411" w:rsidRPr="004A15E4"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AD097E">
              <w:rPr>
                <w:rFonts w:ascii="Times New Roman" w:hAnsi="Times New Roman"/>
                <w:bCs/>
              </w:rPr>
              <w:t xml:space="preserve">ceny sú použité ako signalizácie v e-aukciách alebo pri zákazkách zadávaných s využitím </w:t>
            </w:r>
            <w:r>
              <w:rPr>
                <w:rFonts w:ascii="Times New Roman" w:hAnsi="Times New Roman"/>
                <w:bCs/>
              </w:rPr>
              <w:t>elektronickej platformy,</w:t>
            </w:r>
          </w:p>
          <w:p w:rsidR="009C5411" w:rsidRPr="006B5D31" w:rsidRDefault="009C5411" w:rsidP="00984AE0">
            <w:pPr>
              <w:keepNext/>
              <w:keepLines/>
              <w:numPr>
                <w:ilvl w:val="0"/>
                <w:numId w:val="2"/>
              </w:numPr>
              <w:spacing w:before="120" w:after="120" w:line="240" w:lineRule="auto"/>
              <w:ind w:left="313" w:hanging="284"/>
              <w:jc w:val="both"/>
              <w:rPr>
                <w:rFonts w:ascii="Times New Roman" w:hAnsi="Times New Roman"/>
                <w:bCs/>
              </w:rPr>
            </w:pPr>
            <w:r w:rsidRPr="00AD097E">
              <w:rPr>
                <w:rFonts w:ascii="Times New Roman" w:hAnsi="Times New Roman"/>
                <w:bCs/>
              </w:rPr>
              <w:t>miestni dodávatelia predkladajú vyššie ceny pre miestne dodávky ako pre dodávky do vzdialenejších desti</w:t>
            </w:r>
            <w:r w:rsidRPr="008E5246">
              <w:rPr>
                <w:rFonts w:ascii="Times New Roman" w:hAnsi="Times New Roman"/>
                <w:bCs/>
              </w:rPr>
              <w:t>nácií</w:t>
            </w:r>
            <w:r>
              <w:rPr>
                <w:rFonts w:ascii="Times New Roman" w:hAnsi="Times New Roman"/>
                <w:bCs/>
              </w:rPr>
              <w:t>.</w:t>
            </w:r>
          </w:p>
        </w:tc>
      </w:tr>
      <w:tr w:rsidR="009C5411" w:rsidRPr="008E5246"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13" w:right="-51"/>
              <w:jc w:val="center"/>
              <w:rPr>
                <w:rFonts w:ascii="Times New Roman" w:hAnsi="Times New Roman"/>
                <w:bCs/>
              </w:rPr>
            </w:pPr>
            <w:r w:rsidRPr="00351766">
              <w:rPr>
                <w:rFonts w:ascii="Times New Roman" w:hAnsi="Times New Roman"/>
                <w:bCs/>
              </w:rPr>
              <w:t>11</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Podozrivé vyhlásenia a</w:t>
            </w:r>
            <w:r>
              <w:rPr>
                <w:rFonts w:ascii="Times New Roman" w:hAnsi="Times New Roman"/>
                <w:bCs/>
              </w:rPr>
              <w:t> </w:t>
            </w:r>
            <w:r w:rsidRPr="00351766">
              <w:rPr>
                <w:rFonts w:ascii="Times New Roman" w:hAnsi="Times New Roman"/>
                <w:bCs/>
              </w:rPr>
              <w:t>správanie</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keepNext/>
              <w:keepLines/>
              <w:numPr>
                <w:ilvl w:val="0"/>
                <w:numId w:val="3"/>
              </w:numPr>
              <w:spacing w:before="120" w:after="120" w:line="240" w:lineRule="auto"/>
              <w:ind w:left="313" w:hanging="284"/>
              <w:jc w:val="both"/>
              <w:rPr>
                <w:rFonts w:ascii="Times New Roman" w:hAnsi="Times New Roman"/>
                <w:bCs/>
              </w:rPr>
            </w:pPr>
            <w:r w:rsidRPr="00351766">
              <w:rPr>
                <w:rFonts w:ascii="Times New Roman" w:hAnsi="Times New Roman"/>
                <w:bCs/>
              </w:rPr>
              <w:t>vyhlásenia naznačujúce, že určitý uchádzač pozná (nezverejnené) ceny alebo detaily ponuky iného uchádzača alebo vopred „pozná“ úspešného uchádzača</w:t>
            </w:r>
            <w:r>
              <w:rPr>
                <w:rFonts w:ascii="Times New Roman" w:hAnsi="Times New Roman"/>
                <w:bCs/>
              </w:rPr>
              <w:t>,</w:t>
            </w:r>
          </w:p>
          <w:p w:rsidR="009C5411" w:rsidRPr="004A15E4" w:rsidRDefault="009C5411" w:rsidP="00984AE0">
            <w:pPr>
              <w:keepNext/>
              <w:keepLines/>
              <w:numPr>
                <w:ilvl w:val="0"/>
                <w:numId w:val="3"/>
              </w:numPr>
              <w:spacing w:before="120" w:after="120" w:line="240" w:lineRule="auto"/>
              <w:ind w:left="313" w:hanging="284"/>
              <w:jc w:val="both"/>
              <w:rPr>
                <w:rFonts w:ascii="Times New Roman" w:hAnsi="Times New Roman"/>
                <w:bCs/>
              </w:rPr>
            </w:pPr>
            <w:r w:rsidRPr="004A15E4">
              <w:rPr>
                <w:rFonts w:ascii="Times New Roman" w:hAnsi="Times New Roman"/>
                <w:bCs/>
              </w:rPr>
              <w:t>vyhlásenia, že určití uchádzači nepredávajú tovary alebo nepon</w:t>
            </w:r>
            <w:r w:rsidRPr="006B5D31">
              <w:rPr>
                <w:rFonts w:ascii="Times New Roman" w:hAnsi="Times New Roman"/>
                <w:bCs/>
              </w:rPr>
              <w:t>úkajú služby v určitej oblasti alebo určitý</w:t>
            </w:r>
            <w:r>
              <w:rPr>
                <w:rFonts w:ascii="Times New Roman" w:hAnsi="Times New Roman"/>
                <w:bCs/>
              </w:rPr>
              <w:t>m</w:t>
            </w:r>
            <w:r w:rsidRPr="006B5D31">
              <w:rPr>
                <w:rFonts w:ascii="Times New Roman" w:hAnsi="Times New Roman"/>
                <w:bCs/>
              </w:rPr>
              <w:t xml:space="preserve"> odberateľom</w:t>
            </w:r>
            <w:r>
              <w:rPr>
                <w:rFonts w:ascii="Times New Roman" w:hAnsi="Times New Roman"/>
                <w:bCs/>
              </w:rPr>
              <w:t>,</w:t>
            </w:r>
          </w:p>
          <w:p w:rsidR="009C5411" w:rsidRPr="004A15E4" w:rsidRDefault="009C5411" w:rsidP="00984AE0">
            <w:pPr>
              <w:keepNext/>
              <w:keepLines/>
              <w:numPr>
                <w:ilvl w:val="0"/>
                <w:numId w:val="3"/>
              </w:numPr>
              <w:spacing w:before="120" w:after="120" w:line="240" w:lineRule="auto"/>
              <w:ind w:left="313" w:hanging="284"/>
              <w:jc w:val="both"/>
              <w:rPr>
                <w:rFonts w:ascii="Times New Roman" w:hAnsi="Times New Roman"/>
                <w:bCs/>
              </w:rPr>
            </w:pPr>
            <w:r w:rsidRPr="00AD097E">
              <w:rPr>
                <w:rFonts w:ascii="Times New Roman" w:hAnsi="Times New Roman"/>
                <w:bCs/>
              </w:rPr>
              <w:t>použitie rovnakej alebo podobnej terminológie pri vysvetľovaní ponuky alebo vysvetľovaní mimoriadne nízkej ponuky</w:t>
            </w:r>
            <w:r>
              <w:rPr>
                <w:rFonts w:ascii="Times New Roman" w:hAnsi="Times New Roman"/>
                <w:bCs/>
              </w:rPr>
              <w:t>,</w:t>
            </w:r>
          </w:p>
          <w:p w:rsidR="009C5411" w:rsidRPr="008E5246" w:rsidRDefault="009C5411" w:rsidP="00984AE0">
            <w:pPr>
              <w:keepNext/>
              <w:keepLines/>
              <w:numPr>
                <w:ilvl w:val="0"/>
                <w:numId w:val="3"/>
              </w:numPr>
              <w:spacing w:before="120" w:after="120" w:line="240" w:lineRule="auto"/>
              <w:ind w:left="313" w:hanging="284"/>
              <w:jc w:val="both"/>
              <w:rPr>
                <w:rFonts w:ascii="Times New Roman" w:hAnsi="Times New Roman"/>
                <w:bCs/>
              </w:rPr>
            </w:pPr>
            <w:r w:rsidRPr="00AD097E">
              <w:rPr>
                <w:rFonts w:ascii="Times New Roman" w:hAnsi="Times New Roman"/>
                <w:bCs/>
              </w:rPr>
              <w:t>niekoľko uchádzačov adresovalo verejnému obstarávateľovi rovnaké žiadosti o vysv</w:t>
            </w:r>
            <w:r w:rsidRPr="008E5246">
              <w:rPr>
                <w:rFonts w:ascii="Times New Roman" w:hAnsi="Times New Roman"/>
                <w:bCs/>
              </w:rPr>
              <w:t xml:space="preserve">etlenie súťažných podkladov </w:t>
            </w:r>
          </w:p>
        </w:tc>
      </w:tr>
      <w:tr w:rsidR="009C5411" w:rsidRPr="00AD097E" w:rsidTr="00984AE0">
        <w:trPr>
          <w:cantSplit/>
        </w:trPr>
        <w:tc>
          <w:tcPr>
            <w:tcW w:w="567"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B63144" w:rsidRDefault="009C5411" w:rsidP="00984AE0">
            <w:pPr>
              <w:spacing w:before="120" w:after="120" w:line="240" w:lineRule="auto"/>
              <w:ind w:left="-13" w:right="-51"/>
              <w:jc w:val="center"/>
              <w:rPr>
                <w:rFonts w:ascii="Times New Roman" w:hAnsi="Times New Roman"/>
                <w:bCs/>
                <w:sz w:val="21"/>
                <w:szCs w:val="21"/>
              </w:rPr>
            </w:pPr>
            <w:r w:rsidRPr="00B63144">
              <w:rPr>
                <w:rFonts w:ascii="Times New Roman" w:hAnsi="Times New Roman"/>
                <w:bCs/>
                <w:sz w:val="21"/>
                <w:szCs w:val="21"/>
              </w:rPr>
              <w:lastRenderedPageBreak/>
              <w:t>12</w:t>
            </w:r>
          </w:p>
        </w:tc>
        <w:tc>
          <w:tcPr>
            <w:tcW w:w="2694"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spacing w:before="120" w:after="120" w:line="240" w:lineRule="auto"/>
              <w:ind w:left="34"/>
              <w:rPr>
                <w:rFonts w:ascii="Times New Roman" w:hAnsi="Times New Roman"/>
                <w:bCs/>
              </w:rPr>
            </w:pPr>
            <w:r w:rsidRPr="00351766">
              <w:rPr>
                <w:rFonts w:ascii="Times New Roman" w:hAnsi="Times New Roman"/>
                <w:bCs/>
              </w:rPr>
              <w:t>Podozrivé indície v dokumentácii z verejného obstarávania</w:t>
            </w:r>
          </w:p>
        </w:tc>
        <w:tc>
          <w:tcPr>
            <w:tcW w:w="5811" w:type="dxa"/>
            <w:tcBorders>
              <w:top w:val="single" w:sz="4" w:space="0" w:color="auto"/>
              <w:left w:val="single" w:sz="4" w:space="0" w:color="auto"/>
              <w:bottom w:val="single" w:sz="4" w:space="0" w:color="auto"/>
              <w:right w:val="single" w:sz="4" w:space="0" w:color="auto"/>
            </w:tcBorders>
            <w:shd w:val="pct5" w:color="auto" w:fill="auto"/>
            <w:vAlign w:val="center"/>
          </w:tcPr>
          <w:p w:rsidR="009C5411" w:rsidRPr="00351766"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351766">
              <w:rPr>
                <w:rFonts w:ascii="Times New Roman" w:hAnsi="Times New Roman"/>
                <w:bCs/>
              </w:rPr>
              <w:t xml:space="preserve">dokumenty obsahujú rovnaký rukopis, druh písma (má sa na mysli menej využívaný typ písma), rovnakú formu (netýka sa prípadov, ak uchádzači predkladajú rovnaké formáty dokumentov, ktoré vytvoril verejný obstarávateľ a sú súčasťou súťažných podkladov) alebo boli použité rovnaké kancelárske potreby (napr. ponuky sú podpísané rovnakým atramentom, sú na rovnakom kancelárskom papieri), </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4A15E4">
              <w:rPr>
                <w:rFonts w:ascii="Times New Roman" w:hAnsi="Times New Roman"/>
                <w:bCs/>
              </w:rPr>
              <w:t>rovnaké chyby v jednotlivých dokumen</w:t>
            </w:r>
            <w:r w:rsidRPr="006B5D31">
              <w:rPr>
                <w:rFonts w:ascii="Times New Roman" w:hAnsi="Times New Roman"/>
                <w:bCs/>
              </w:rPr>
              <w:t>toch, napr. pravopisné chyby, tlačiarenské chyby (rovnaké nedostatky tlače), matematické chyby (identické chyby v počítaní),</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zhodné nepravidelnosti, napr. zoradenie dokumentov do ponuky s prehodenými stranami, identické chybné číslovanie strán,</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dokumenty</w:t>
            </w:r>
            <w:r w:rsidRPr="008E5246">
              <w:rPr>
                <w:rFonts w:ascii="Times New Roman" w:hAnsi="Times New Roman"/>
                <w:bCs/>
              </w:rPr>
              <w:t xml:space="preserve"> v elektronickej forme ukazujú, že ich vyt</w:t>
            </w:r>
            <w:r w:rsidRPr="00EB6DFA">
              <w:rPr>
                <w:rFonts w:ascii="Times New Roman" w:hAnsi="Times New Roman"/>
                <w:bCs/>
              </w:rPr>
              <w:t>vorila alebo upravovala jedna osoba,</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 xml:space="preserve">obálky od rôznych uchádzačov, sú zasielané z jednej pošty, majú rovnaké </w:t>
            </w:r>
            <w:proofErr w:type="spellStart"/>
            <w:r w:rsidRPr="00AD097E">
              <w:rPr>
                <w:rFonts w:ascii="Times New Roman" w:hAnsi="Times New Roman"/>
                <w:bCs/>
              </w:rPr>
              <w:t>frankovacie</w:t>
            </w:r>
            <w:proofErr w:type="spellEnd"/>
            <w:r w:rsidRPr="00AD097E">
              <w:rPr>
                <w:rFonts w:ascii="Times New Roman" w:hAnsi="Times New Roman"/>
                <w:bCs/>
              </w:rPr>
              <w:t xml:space="preserve"> značky a známky, na podacích lístkoch je rovnaký rukopis, čísla kolkov v rôznych ponukách na</w:t>
            </w:r>
            <w:r w:rsidRPr="008E5246">
              <w:rPr>
                <w:rFonts w:ascii="Times New Roman" w:hAnsi="Times New Roman"/>
                <w:bCs/>
              </w:rPr>
              <w:t xml:space="preserve"> seba nadväzujú, </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niekoľko ponúk (alebo akýchkoľvek iných dokumentov, napr. žiadosti o vysvetlenie súťažných podkladov) je posielaných z rovnakej emailovej adresy, z rovnakého faxového čísla alebo naraz prostredníctvom jedného kuriéra,</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dokumenty o cenový</w:t>
            </w:r>
            <w:r w:rsidRPr="008E5246">
              <w:rPr>
                <w:rFonts w:ascii="Times New Roman" w:hAnsi="Times New Roman"/>
                <w:bCs/>
              </w:rPr>
              <w:t>ch ponukách obsahujú veľký počet opráv ako</w:t>
            </w:r>
            <w:r w:rsidRPr="00EB6DFA">
              <w:rPr>
                <w:rFonts w:ascii="Times New Roman" w:hAnsi="Times New Roman"/>
                <w:bCs/>
              </w:rPr>
              <w:t>, škrtanie alebo iné viditeľné zmeny,</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 xml:space="preserve">ponuky jedného uchádzača obsahujú jednoznačný odkaz na ponuky ostatných konkurentov, v hlavičke sa vyskytujú kontaktné údaje iného uchádzača alebo využívajú hlavičkový papier </w:t>
            </w:r>
            <w:r w:rsidRPr="008E5246">
              <w:rPr>
                <w:rFonts w:ascii="Times New Roman" w:hAnsi="Times New Roman"/>
                <w:bCs/>
              </w:rPr>
              <w:t>konkurenta,</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ponuky viacerých uchádzačov obsahujú podstatný počet rovnakých odhadov nákladov na jednotlivé položky,</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doklady preukazujúce splnenie podmienok účasti boli overené tým istým notárom alebo predložené tým istým prekladateľom (spravidla v ten ist</w:t>
            </w:r>
            <w:r w:rsidRPr="008E5246">
              <w:rPr>
                <w:rFonts w:ascii="Times New Roman" w:hAnsi="Times New Roman"/>
                <w:bCs/>
              </w:rPr>
              <w:t>ý deň), pričom ide o uchádzačov, ktorí maj</w:t>
            </w:r>
            <w:r w:rsidRPr="00EB6DFA">
              <w:rPr>
                <w:rFonts w:ascii="Times New Roman" w:hAnsi="Times New Roman"/>
                <w:bCs/>
              </w:rPr>
              <w:t>ú rôzne sídlo alebo miesto podnikania,</w:t>
            </w:r>
          </w:p>
          <w:p w:rsidR="009C5411" w:rsidRPr="004A15E4"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ponuky viacerých uchádzačov obsahovali v rámci podmienok účasti technickej alebo odbornej spôsobilosti údaje o vzdelaní a odbornej praxi tých istých expertov, aj napriek skut</w:t>
            </w:r>
            <w:r w:rsidRPr="008E5246">
              <w:rPr>
                <w:rFonts w:ascii="Times New Roman" w:hAnsi="Times New Roman"/>
                <w:bCs/>
              </w:rPr>
              <w:t>očnosti, že trh ponúka relatívne široké po</w:t>
            </w:r>
            <w:r w:rsidRPr="00EB6DFA">
              <w:rPr>
                <w:rFonts w:ascii="Times New Roman" w:hAnsi="Times New Roman"/>
                <w:bCs/>
              </w:rPr>
              <w:t>rtfólio expertov tohto typu,</w:t>
            </w:r>
          </w:p>
          <w:p w:rsidR="009C5411" w:rsidRPr="00AD097E" w:rsidRDefault="009C5411" w:rsidP="00984AE0">
            <w:pPr>
              <w:keepNext/>
              <w:keepLines/>
              <w:numPr>
                <w:ilvl w:val="0"/>
                <w:numId w:val="4"/>
              </w:numPr>
              <w:spacing w:before="120" w:after="120" w:line="240" w:lineRule="auto"/>
              <w:ind w:left="313" w:hanging="313"/>
              <w:jc w:val="both"/>
              <w:rPr>
                <w:rFonts w:ascii="Times New Roman" w:hAnsi="Times New Roman"/>
                <w:bCs/>
              </w:rPr>
            </w:pPr>
            <w:r w:rsidRPr="00AD097E">
              <w:rPr>
                <w:rFonts w:ascii="Times New Roman" w:hAnsi="Times New Roman"/>
                <w:bCs/>
              </w:rPr>
              <w:t>uchádzači predložili rovnaký opis predmetu zákazky, ktorý nie je voľne dostupný.</w:t>
            </w:r>
          </w:p>
        </w:tc>
      </w:tr>
    </w:tbl>
    <w:p w:rsidR="00E71462" w:rsidRDefault="00E71462"/>
    <w:sectPr w:rsidR="00E714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411" w:rsidRDefault="009C5411" w:rsidP="009C5411">
      <w:pPr>
        <w:spacing w:after="0" w:line="240" w:lineRule="auto"/>
      </w:pPr>
      <w:r>
        <w:separator/>
      </w:r>
    </w:p>
  </w:endnote>
  <w:endnote w:type="continuationSeparator" w:id="0">
    <w:p w:rsidR="009C5411" w:rsidRDefault="009C5411" w:rsidP="009C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411" w:rsidRDefault="009C5411" w:rsidP="009C5411">
      <w:pPr>
        <w:spacing w:after="0" w:line="240" w:lineRule="auto"/>
      </w:pPr>
      <w:r>
        <w:separator/>
      </w:r>
    </w:p>
  </w:footnote>
  <w:footnote w:type="continuationSeparator" w:id="0">
    <w:p w:rsidR="009C5411" w:rsidRDefault="009C5411" w:rsidP="009C54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411" w:rsidRDefault="009C5411" w:rsidP="009C5411">
    <w:pPr>
      <w:pStyle w:val="Nadpis2"/>
    </w:pPr>
    <w:bookmarkStart w:id="1" w:name="_Toc177977607"/>
    <w:r w:rsidRPr="000940EA">
      <w:t>Príloha č. 13 Zoznam rizikových indikátorov</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317F4"/>
    <w:multiLevelType w:val="hybridMultilevel"/>
    <w:tmpl w:val="53D476DE"/>
    <w:lvl w:ilvl="0" w:tplc="88ACC300">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2" w15:restartNumberingAfterBreak="0">
    <w:nsid w:val="1C726B18"/>
    <w:multiLevelType w:val="hybridMultilevel"/>
    <w:tmpl w:val="A9BE6D38"/>
    <w:lvl w:ilvl="0" w:tplc="88ACC300">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7BD55A8C"/>
    <w:multiLevelType w:val="hybridMultilevel"/>
    <w:tmpl w:val="CB8C6BA0"/>
    <w:lvl w:ilvl="0" w:tplc="88ACC300">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411"/>
    <w:rsid w:val="009C5411"/>
    <w:rsid w:val="00E714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5FB35"/>
  <w15:chartTrackingRefBased/>
  <w15:docId w15:val="{6BF2EA7D-97AC-430D-BA0A-8CEF52300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5411"/>
    <w:pPr>
      <w:spacing w:after="200" w:line="276" w:lineRule="auto"/>
    </w:pPr>
    <w:rPr>
      <w:rFonts w:ascii="Calibri" w:eastAsia="Calibri" w:hAnsi="Calibri" w:cs="Times New Roman"/>
    </w:rPr>
  </w:style>
  <w:style w:type="paragraph" w:styleId="Nadpis2">
    <w:name w:val="heading 2"/>
    <w:basedOn w:val="Normlny"/>
    <w:next w:val="Normlny"/>
    <w:link w:val="Nadpis2Char"/>
    <w:uiPriority w:val="9"/>
    <w:unhideWhenUsed/>
    <w:qFormat/>
    <w:rsid w:val="009C5411"/>
    <w:pPr>
      <w:keepNext/>
      <w:keepLines/>
      <w:spacing w:before="240" w:after="120"/>
      <w:outlineLvl w:val="1"/>
    </w:pPr>
    <w:rPr>
      <w:rFonts w:eastAsia="Times New Roman"/>
      <w:b/>
      <w:bCs/>
      <w:color w:val="4F81BD"/>
      <w:sz w:val="26"/>
      <w:szCs w:val="26"/>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C5411"/>
    <w:rPr>
      <w:rFonts w:ascii="Calibri" w:eastAsia="Times New Roman" w:hAnsi="Calibri" w:cs="Times New Roman"/>
      <w:b/>
      <w:bCs/>
      <w:color w:val="4F81BD"/>
      <w:sz w:val="26"/>
      <w:szCs w:val="26"/>
      <w:lang w:val="x-none" w:eastAsia="x-none"/>
    </w:rPr>
  </w:style>
  <w:style w:type="paragraph" w:styleId="Odsekzoznamu">
    <w:name w:val="List Paragraph"/>
    <w:aliases w:val="body,Odsek zoznamu2,List Paragraph,Odsek,Listenabsatz"/>
    <w:basedOn w:val="Normlny"/>
    <w:link w:val="OdsekzoznamuChar"/>
    <w:uiPriority w:val="99"/>
    <w:qFormat/>
    <w:rsid w:val="009C5411"/>
    <w:pPr>
      <w:ind w:left="720"/>
      <w:contextualSpacing/>
    </w:pPr>
    <w:rPr>
      <w:sz w:val="20"/>
      <w:szCs w:val="20"/>
      <w:lang w:val="x-none" w:eastAsia="x-none"/>
    </w:rPr>
  </w:style>
  <w:style w:type="character" w:customStyle="1" w:styleId="OdsekzoznamuChar">
    <w:name w:val="Odsek zoznamu Char"/>
    <w:aliases w:val="body Char,Odsek zoznamu2 Char,List Paragraph Char,Odsek Char,Listenabsatz Char"/>
    <w:link w:val="Odsekzoznamu"/>
    <w:uiPriority w:val="99"/>
    <w:rsid w:val="009C5411"/>
    <w:rPr>
      <w:rFonts w:ascii="Calibri" w:eastAsia="Calibri" w:hAnsi="Calibri" w:cs="Times New Roman"/>
      <w:sz w:val="20"/>
      <w:szCs w:val="20"/>
      <w:lang w:val="x-none" w:eastAsia="x-none"/>
    </w:rPr>
  </w:style>
  <w:style w:type="paragraph" w:styleId="Hlavika">
    <w:name w:val="header"/>
    <w:basedOn w:val="Normlny"/>
    <w:link w:val="HlavikaChar"/>
    <w:uiPriority w:val="99"/>
    <w:unhideWhenUsed/>
    <w:rsid w:val="009C54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C5411"/>
    <w:rPr>
      <w:rFonts w:ascii="Calibri" w:eastAsia="Calibri" w:hAnsi="Calibri" w:cs="Times New Roman"/>
    </w:rPr>
  </w:style>
  <w:style w:type="paragraph" w:styleId="Pta">
    <w:name w:val="footer"/>
    <w:basedOn w:val="Normlny"/>
    <w:link w:val="PtaChar"/>
    <w:uiPriority w:val="99"/>
    <w:unhideWhenUsed/>
    <w:rsid w:val="009C5411"/>
    <w:pPr>
      <w:tabs>
        <w:tab w:val="center" w:pos="4536"/>
        <w:tab w:val="right" w:pos="9072"/>
      </w:tabs>
      <w:spacing w:after="0" w:line="240" w:lineRule="auto"/>
    </w:pPr>
  </w:style>
  <w:style w:type="character" w:customStyle="1" w:styleId="PtaChar">
    <w:name w:val="Päta Char"/>
    <w:basedOn w:val="Predvolenpsmoodseku"/>
    <w:link w:val="Pta"/>
    <w:uiPriority w:val="99"/>
    <w:rsid w:val="009C541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5991</Characters>
  <Application>Microsoft Office Word</Application>
  <DocSecurity>0</DocSecurity>
  <Lines>49</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Zorkóczyová, Ema</dc:creator>
  <cp:keywords/>
  <dc:description/>
  <cp:lastModifiedBy>Zorkóczyová, Ema</cp:lastModifiedBy>
  <cp:revision>1</cp:revision>
  <dcterms:created xsi:type="dcterms:W3CDTF">2025-03-05T10:08:00Z</dcterms:created>
  <dcterms:modified xsi:type="dcterms:W3CDTF">2025-03-05T10:09:00Z</dcterms:modified>
</cp:coreProperties>
</file>